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22 204 vom 25. Juni 2024</w:t>
      </w:r>
    </w:p>
    <w:p>
      <w:r>
        <w:t>VS Kantonsgericht, 2024-06-25, FR</w:t>
      </w:r>
    </w:p>
    <w:p>
      <w:r>
        <w:rPr>
          <w:b/>
        </w:rPr>
        <w:t xml:space="preserve">Quelle: </w:t>
      </w:r>
      <w:r>
        <w:t>https://mcp.opencaselaw.ch/entscheid/vs_gerichte_S1 22 204</w:t>
      </w:r>
    </w:p>
    <w:p>
      <w:r>
        <w:t>FR: VS_GERICHTE S1 22 204 du 25 juin 2024</w:t>
      </w:r>
    </w:p>
    <w:p>
      <w:r>
        <w:t>IT: VS_GERICHTE S1 22 204 del 25 giugno 2024</w:t>
      </w:r>
    </w:p>
    <w:p>
      <w:pPr>
        <w:pStyle w:val="Heading2"/>
      </w:pPr>
      <w:r>
        <w:t>Regeste</w:t>
      </w:r>
    </w:p>
    <w:p>
      <w:r>
        <w:t>S1 22 204 ARRÊT DU 25 JUIN 2024 Tribunal cantonal du Valais Cour des assurances sociales Composition : Candido Prada, président ; Jean-Bernard Fournier et Christophe Joris, juges ; Simon Hausammann, greffier en la cause X _________, recourant, représenté par Maître Flore Primault, avocate, Lausanne contre OFFICE CANTONAL AI DU VALAIS, intimé (art. 17, 43 LPGA et 59 al. 2bis aLAI ; nouvelle demande, refus de prestations AI, valeur probante de l’avis du SMR, taux d’invalidité)</w:t>
      </w:r>
    </w:p>
    <w:p>
      <w:pPr>
        <w:pStyle w:val="Heading2"/>
      </w:pPr>
      <w:r>
        <w:t>Erwägungen</w:t>
      </w:r>
    </w:p>
    <w:p>
      <w:r>
        <w:rPr>
          <w:b/>
        </w:rPr>
        <w:t>E. 1.1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9 décembre 2022, le présent recours à l'encontre des décisions du du 7 novembre précédent a été interjeté dans le délai légal de trente jours (art. 60 LPGA)</w:t>
      </w:r>
    </w:p>
    <w:p>
      <w:r>
        <w:t>- 7 - et devant l'instance compétente (art. 56 et 57 LPGA et 69 al. 1 let. a LAI ; art. 81a al. 1 LPJA). Il répond par ailleurs aux autres conditions formelles de recevabilité (art. 61 let. b LPGA), de sorte que la Cour doit entrer en matière.</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146 V 364 consid. 7.1 et 144 V 210 consid. 4.3.1). En l’occurrence, si la décision entreprise est postérieure au 1er janvier 2022, le droit potentiel à la rente du recourant est pour sa part antérieur à cette date, si bien qu’il doit être examiné selon les normes en vigueur jusqu’au 31 décembre 2021. Les dispositions citées ci-après seront donc mentionnées, sauf avis contraire, dans leur teneur au 31 décembre 2021.</w:t>
      </w:r>
    </w:p>
    <w:p>
      <w:r>
        <w:rPr>
          <w:b/>
        </w:rPr>
        <w:t>E. 2</w:t>
      </w:r>
    </w:p>
    <w:p>
      <w:r>
        <w:t>Le litige porte sur le droit du recourant à des prestations AI dans le cadre d’une nouvelle demande. Il remet essentiellement en cause la pleine capacité de travail qui lui a été reconnue dans une activité adaptée.</w:t>
      </w:r>
    </w:p>
    <w:p>
      <w:r>
        <w:rPr>
          <w:b/>
        </w:rPr>
        <w:t>E. 2.1</w:t>
      </w:r>
    </w:p>
    <w:p>
      <w:r>
        <w:t>Selon l'article 17 LPGA (en vigueur jusqu’au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130 V 71 consid. 3.2 ; arrêt du Tribunal fédéral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w:t>
      </w:r>
    </w:p>
    <w:p>
      <w:r>
        <w:t>- 8 - demande ou d'office (ATF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112 V 387 consid. 1b avec les références).</w:t>
      </w:r>
    </w:p>
    <w:p>
      <w:r>
        <w:rPr>
          <w:b/>
        </w:rPr>
        <w:t>E. 2.2</w:t>
      </w:r>
    </w:p>
    <w:p>
      <w:r>
        <w:t>et 8C_4/2010 du 29 novembre 2010 consid. 4.1 avec les références ; arrêts du Tribunal administratif fédéral C-3486/2014 du 17 mai 2017 consid. 8.2 et C-6371/2011 du 21 août 2013).</w:t>
      </w:r>
    </w:p>
    <w:p>
      <w:r>
        <w:rPr>
          <w:b/>
        </w:rPr>
        <w:t>E. 2.3</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avec la réf. cit.).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dépend de la question de savoir si celle qui se trouve déjà au dossier remplit les exigences de forme et de fond posées pour la valeur probante d’une expertise médicale (arrêt du Tribunal fédéral U 571/06 du 29 mai 2007 consid. 4.2 et les références).</w:t>
      </w:r>
    </w:p>
    <w:p>
      <w:r>
        <w:t>- 10 -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8C_796/2016 précité consid. 3.3). Enfin, les rapports et expertises de médecins internes à l'assurance ont également une valeur probante pour autant qu'ils apparaissent concluants, soient motivés de manière compréhensible, ne soient pas contradictoires en soi et qu'il n'existe aucun indice contre leur fiabilité. Le seul fait que le médecin soit employé par l'assureur ne permet pas de conclure à un manque d'objectivité et à une partialité. Il faut au contraire des circonstances particulières qui font apparaître objectivement comme fondée la méfiance à l'égard de l'impartialité de l'évaluation. Compte tenu de l'importance considérable que revêtent les rapports médicaux dans le droit des assurances sociales, il convient toutefois d'appliquer des critères stricts à l'impartialité de l'expert (ATF 125 V 351 consid. 3/ee et 122 V 161 s. consid. 1c). Les rapports des médecins employés de l'assurance sont à prendre en considération tant qu'il n'existe aucun doute, même minime, sur l'exactitude de leurs conclusions (ATF 135 V 465 consid. 4.7).</w:t>
      </w:r>
    </w:p>
    <w:p>
      <w:r>
        <w:rPr>
          <w:b/>
        </w:rPr>
        <w:t>E. 2.4</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 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8C_239/2020 du 19 avril 2021 consid. 7.2.1 et les autres arrêts cités).</w:t>
      </w:r>
    </w:p>
    <w:p>
      <w:r>
        <w:t>- 11 -</w:t>
      </w:r>
    </w:p>
    <w:p>
      <w:r>
        <w:rPr>
          <w:b/>
        </w:rPr>
        <w:t>E. 3</w:t>
      </w:r>
    </w:p>
    <w:p>
      <w:r>
        <w:t>Dans le cas d’espèce, l’intimé a retenu une pleine capacité de travail au recourant dès le 23 novembre 2020, en se basant sur l’appréciation du SMR. La valeur probante de celle-ci est contestée par l’intéressé.</w:t>
      </w:r>
    </w:p>
    <w:p>
      <w:r>
        <w:rPr>
          <w:b/>
        </w:rPr>
        <w:t>E. 3.1</w:t>
      </w:r>
    </w:p>
    <w:p>
      <w:r>
        <w:t>Il est premièrement relevé que les pièces versées en cause les 8 février 2024,</w:t>
      </w:r>
    </w:p>
    <w:p>
      <w:r>
        <w:rPr>
          <w:b/>
        </w:rPr>
        <w:t>E. 3.2</w:t>
      </w:r>
    </w:p>
    <w:p>
      <w:r>
        <w:t>Un examen clinique auprès du SMR a été motivé par les rapports que le recourant a produits dans le cadre de la procédure S1 21 126, faisant en particulier état d’une sténose au niveau L2-L3, partiellement constitutionnelle, sur des lames courtes et d’une lipomatose épidurale provoquant une symptomatologie dans les membres inférieurs (pièces OAI 171, 185 et 186). Le 11 avril 2022, le Dr G _________ a dès lors repris en détail l’ensemble des pièces médicales au dossier, décrit l’anamnèse du recourant, écouté ses plaintes et procédé à un examen clinique complet. Il a ensuite arrêté les diagnostics et motivé d’une manière fondée et cohérente que si les troubles du recourant l’empêchaient de maintenir son activité habituelle d’agent de sécurité, aucune raison justifiait qu’il ne reprenne pas un emploi dans une activité adaptée à ses limitations fonctionnelles (pièce OAI 203, p. 483). Son analyse n’est pas critiquable et n’est contredite par aucun avis probant au dossier. Il ne ressort en effet pas des appréciations des Drs F _________ et D _________ que les affections du recourant l’empêcheraient d’exercer la moindre activité professionnelle. Le bilan neurochirurgique qui avait été effectué le 25 mai 2021 n’avait ainsi pas permis d’expliquer les dorsalgies et il n’existait pas d’indication chirurgicale (pièce OAI 171, p. 409). Le nouvel examen neurochirurgique du 20 avril 2023 a fait mention d’un élément de lipomatose qui avait déjà été observée par le Dr D _________ en mai 2021 et l’IRM du 6 mars 2023 a également montré des résultats comparables aux précédentes imageries. L’incapacité de travail certifiée par le Dr J _________ semble en outre liée à l’activité de machiniste de son patient et ne saurait ainsi remettre en cause l’appréciation du SMR. Quant au Dr E _________, il avait relevé que les douleurs causées par une dysfonction articulaire dorsale et lombaire avaient pu être atténuées par le traitement chiropratique</w:t>
      </w:r>
    </w:p>
    <w:p>
      <w:r>
        <w:t>- 12 - mis en place par ses soins en juillet 2021. On note cependant que pour ce chiropraticien, une incapacité de travail était justifiée lors de son examen et qu’une reprise du travail était encore prématurée le 22 juillet 2021 (pièce OAI 171, p. 411). Sans se prononcer formellement sur l’avis du Dr E _________, le SMR a estimé que l’examen clinique du chiropraticien était comparable à celui du 23 novembre 2020 du Dr B _________ et ne justifiait par conséquent pas une incapacité de travail au-delà de cette date (pièce OAI 203, p. 483). Lors de sa consultation du mois de novembre 2020, le Dr B _________ avait relevé une symptomatologie dominée par des dorsalgies inter-scapulaires, d’allure mécanique et positionnelle limitant la position assise, avec une composante inflammatoire. Pour ce médecin, une pleine capacité de travail avec un rendement diminué de 20% était exigible dans une activité relativement adaptée, limitant le port de charges et les efforts en particulier sur le rachis, à l’instar d’un emploi dans une petite décharge ou une autre activité en extérieur (pièce OAI 131, pp. 302 et 303). Force est de constater que les constatations du Dr E _________ ne divergent pas de celles de son confrère. Dans son rapport du 22 juillet 2021, il apparaît au demeurant qu’il se prononce uniquement sur la reprise de l’activité habituelle de son patient sans indication quant à l’exigibilité d’un emploi adapté. Par conséquent, les conclusions du 13 avril 2022 du SMR, relatives à la reprise d’une activité professionnelle (parfaitement) adaptée et sans baisse de rendement depuis le 23 novembre 2020, sont probantes et concordent aux observations faites par les autres médecins du recourant. Le recourant se prévaut encore de l’avis du Dr H _________. Le rapport du 10 octobre 2022 de ce médecin est toutefois insuffisant pour remettre en doute l’avis du SMR. Le Dr H _________ se contente en effet à critiquer l’examen clinique de son confrère du SMR sans proposer le moindre argument médical objectif qui justifierait de retenir une incapacité de travail à son patient dans une activité adaptée. Il évoque en outre un déconditionnement sans démontrer dans quelle mesure il limiterait son patient. Par ailleurs, rien ne laisse suggérer qu’un tel déconditionnement, s’il devait être avéré, serait la conséquence directe et inévitable d’une atteinte invalidante et non le résultat d’un manque d’activité et d’exercice physique du recourant, si bien qu’il ne saurait avoir une incidence sur sa capacité de travail (arrêt du Tribunal fédéral 9C_809/2017 du 27 mars 2018 consid. 5.2 avec les références).</w:t>
      </w:r>
    </w:p>
    <w:p>
      <w:r>
        <w:rPr>
          <w:b/>
        </w:rPr>
        <w:t>E. 3.3</w:t>
      </w:r>
    </w:p>
    <w:p>
      <w:r>
        <w:t>Au vu des éléments qui précèdent, l’intimé pouvait légalement considérer que le recourant avait récupéré une pleine capacité de travail dans une activité adaptée depuis le 23 novembre 2020 (date d’examen du Dr B _________).</w:t>
      </w:r>
    </w:p>
    <w:p>
      <w:r>
        <w:t>- 13 - Après avoir interpellé son service de réadaptation, l’OAI a par ailleurs fourni au recourant une liste d’exemples d’emplois adaptés et accessibles sans formation particulière préalable (pièce OAI 226). Il lui revient par conséquent de se former par ses propres moyens dans une activité tenant compte de ses atteintes somatiques, conformément à son obligation de diminuer le dommage (art. 7 al. 1 et 2 LAI ; ATF 138 I 205 consid. 3). 4. Dans un second grief, le recourant conteste la détermination de son revenu d’invalide et plus particulièrement l’abattement opéré sur celui-ci. 4.1.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art. 28a al. 1 LAI et 25 ss RAI). La comparaison des revenus s'effectue, en règle générale, en chiffrant aussi exactement que possible les montants de ces deux revenus et en les confrontant l'un avec l'autre, la différence permettant de calculer le taux d'invalidité (ATF 137 V 334 consid. 3.3.1). 4.1.1.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8C_610/2017 du 3 avril 2018 consid. 3.3.1). On se fondera, sur ce point, sur les renseignements communiqués par l’employeur ou, à défaut, sur l’évolution des salaires nominaux (arrêt du Tribunal fédéral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 3.3.2, 135 V 297 consid. 5.1 et 134 V322 consid. 4.1 ; arrêt du Tribunal fédéral 8C_589/2018 du 4 juillet 2019 consid. 6.2). Ne font pas partie du revenu déterminant les frais accessoires au salaire, qui sont à la charge de l’employeur et qui ne sont pas soumis aux cotisations AVS. Le gain assuré comprend en particulier les allocations familiales, lesquelles ne sont pas prises en compte dans le calcul du revenu sans invalidité (arrêt du Tribunal fédéral 8C_733/2013 du 5 septembre 2014 consid. 5 et la référence). 4.1.2. Le revenu avec invalidité doit être évalué avant tout en fonction de la situation professionnelle concrète de la personne assurée. Lorsque l'activité exercée après la survenance de l'atteinte à la santé repose sur des rapports de travail particulièrement</w:t>
      </w:r>
    </w:p>
    <w:p>
      <w:r>
        <w:t>- 14 -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et 129 V 472 consid. 4.2.1 ; arrêts du Tribunal fédéral 8C_171/2021 du 11 décembre 2021 consid. 3.3 et 4.3, 9C_843/2015 du 7 avril 2016 consid. 5.2).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 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une déduction maximale de 25% pour en tenir compte (ATF 129 V 472 consid. 4.2.3 et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w:t>
      </w:r>
    </w:p>
    <w:p>
      <w:r>
        <w:t>- 15 -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et 126 V 75 consid. 6). 4.2. En l’occurrence, seule la question de l’abattement est litigieuse. Selon le recourant, ses limitations fonctionnelles justifieraient une déduction de 20% sur son revenu d’invalide. 4.2.1. Une pleine capacité de travail sans diminution de rendement a été reconnue au recourant, si bien qu’il convient d’examiner si ses limitations fonctionnelles sont susceptibles d’influer sur ses perspectives salariales. On note que les handicaps du recourant ont déjà déterminé les activités pouvant encore être réalisées et qu’elles ne devraient ainsi pas faire l’objet d’une double prise en considération. Néanmoins, ses limitations fonctionnelles ne sont pas anodines et sont relativement nombreuses, de sorte qu’il est vraisemblable qu’elles influent sur ses perspectives salariales et entraînent un désavantage non négligeable par rapport à des travailleurs jouissant d’une pleine capacité de travail et pouvant être engagés comme tels. La déduction de 15% opérée par l’intimé sur le revenu d’invalide du recourant tient, en ce sens, compte dans une juste proportion des concessions salariales qu’il devra accepter afin de retrouver une activité adaptée. Un taux d’abattement supérieur ne se justifie en revanche pas. On relève premièrement que le fait que le recourant ne puisse plus exercer ses anciennes activités physiques a déjà été pris en compte dans la détermination d’un emploi adapté et ne peut dès lors avoir une influence sur le taux d’abattement comme il le souhaite. Par ailleurs, mis à part les handicaps du recourant aucune circonstance ne justifie une déduction supplémentaire. Un taux de 15% tient dans cette mesure correctement compte des limitations fonctionnelles du recourant (cf. pour des situations similaires : arrêts du Tribunal fédéral 8C_171/2021 du 14 décembre 2021 [abattement de 10%] et 9C_39/2011 du 22 août 2011 consid. 6 [15%]). Au demeurant, il ne revenait pas à l’OAI d’examiner si un invalide pouvait être placé eu égard aux conditions concrètes du marché du travail, ce qui revient à l’assurance- chômage, mais uniquement d’examiner si le recourant était encore en mesure d’exploiter économiquement sa capacité résiduelle de travail sur un marché du travail équilibré, comprenant un équilibré entre l’offre et la demande de main d’œuvre (art. 16 LPGA ; arrêts du Tribunal fédéral 9C_485/2014 du 28 novembre 2014 consid. 2.2 et</w:t>
      </w:r>
    </w:p>
    <w:p>
      <w:r>
        <w:t>- 16 - 8C_771/2011 du 15 novembre 2012 consid. 4.2 avec les références). Il est possible de s’écarter de cette notion de marché équilibré du travail lorsqu’une activité ne peut être exercée que sous une forme tellement restreinte qu'elle n'existe quasiment pas sur le marché général du travail ou que son exercice impliquerait de l'employeur des concessions irréalistes et que, de ce fait, il semble exclu de trouver un emploi correspondant (arrêt du Tribunal fédéral 9C_286/2015 du 1er janvier 2016 consid. 4.2 avec les références). En l’espèce, on ne saurait retenir que le recourant serait à ce point limité dans sa capacité à reprendre une activité légère et adaptée, notamment dans une des professions évoquées par le service de réadaptation (pièce OAI 226), étant précisé que le marché équilibré du travail comprend également des offres d’employeurs socialement engagés tenant compte des limitations des personnes handicapées (arrêt du Tribunal fédéral 9C_312/2017 du 18 mai 2018 consid. 6.2 avec les références). Les professions citées par le service de réadaptation n’exigent ainsi pas le port de charges moyennes à lourdes, ni la manutention de charges au-dessus du buste ou encore de travailler en-dessus de l’horizontale. Ces activités sédentaires et semi-sédentaires de niveau de compétence 1 pourront du reste être exercées par le recourant dans le respect de ses limitations liées à la mobilité et à la posture qu’il doit adopter (pas d’activité en position accroupie ; pas d’utilisation d’escaliers, d’échelles ou d’échafaudages ; pas de marche prolongée ; pas de station debout prolongée ; alternance des positions ; cf. notamment arrêt du Tribunal fédéral U 192/02 du 23 juin 2003 consid. 4.1). Du reste, contrairement à ce que soutient le recourant, un emploi d’ouvrier en horlogerie respecte ses limitations fonctionnelles (arrêt du Tribunal fédéral 8C_226/2018 du 30 janvier 2019 consid. 4.1). 4.2.2. Dans ces conditions, le taux d’abattement de 15% retenu par l’intimé dans le cadre de sa marge d’appréciation n’est pas critiquable. Les autres éléments relatifs à la détermination du taux d’invalidité n’étant pas contestés, il convient de confirmer le taux arrêté à 17.39%, lequel est insuffisant pour ouvrir le droit à des prestations AI au recourant (40% pour une rente d’invalidité [art. 28 al. 1 let. c LAI] et 20% pour un reclassement [ATF 139 V 399 consid. 5.3 et 130 V 488 consid. 4.2 avec les références]). La décision litigieuse est par conséquent confirmée et le recours du 9 décembre 2022 rejeté. 5.</w:t>
      </w:r>
    </w:p>
    <w:p>
      <w:r>
        <w:t>5.1. La procédure de recours en matière de contestation portant sur l'octroi ou le refus de prestations de l'assurance-invalidité devant le tribunal cantonal des assurances est</w:t>
      </w:r>
    </w:p>
    <w:p>
      <w:r>
        <w:t>- 17 - soumise à des frais judiciaires, dont le montant, fixé en fonction de la charge liée à la procédure, oscille entre 200 et 1000 francs (art. 61 let. fbis LPGA et art. 69 al. 1bis LAI). Eu égard à l’issue de la cause, les frais de justice, par 800 francs, au regard des principes de la couverture des coûts et de l’équivalence, sont mis à la charge du recourant qui succombe (art. 69 al. 1bis LAI). 5.2. Vu l’issue de la cause, le recourant ne peut pas prétendre à des dépens (art. 61 let. g LPGA et 91 al. 1 LPJA a contrario), ni d’ailleurs l’intimé (art. 91 al. 3 LPJA).</w:t>
      </w:r>
    </w:p>
    <w:p>
      <w:r>
        <w:t>Prononce</w:t>
      </w:r>
    </w:p>
    <w:p>
      <w:r>
        <w:t>1. Le recours est rejeté. 2. Les frais, par 800 francs, sont mis à la charge de X _________. 3. Il n’est pas alloué de dépens.</w:t>
      </w:r>
    </w:p>
    <w:p>
      <w:r>
        <w:t>Sion, le 25 juin 2024.</w:t>
      </w:r>
    </w:p>
    <w:p>
      <w:r>
        <w:rPr>
          <w:b/>
        </w:rPr>
        <w:t>E. 6</w:t>
      </w:r>
    </w:p>
    <w:p>
      <w:r>
        <w:t>mars 2024, 3 juin 2024 et 5 juin suivant ont trait à des atteintes (ORL et apnées du sommeil) qui n’affectaient pas encore le recourant lors du prononcé de la décision litigieuse le 7 novembre 2022. Par conséquent, dans l’éventualité où ces troubles devraient avoir un caractère invalidant ou influençant la capacité de travail de l’intéressé, ces conséquences ne pourront être examinées que dans le cadre d’une nouvelle demande présentée à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